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Chapitre 2 — Rappels de géométrie</w:t>
      </w:r>
    </w:p>
    <w:p>
      <w:pPr>
        <w:keepNext/>
        <w:pBdr>
          <w:bottom w:val="single" w:color="111111" w:sz="6"/>
        </w:pBdr>
        <w:spacing w:after="80" w:before="160" w:line="360"/>
      </w:pPr>
      <w:r>
        <w:rPr>
          <w:b/>
          <w:bCs/>
          <w:color w:val="111111"/>
          <w:sz w:val="30"/>
          <w:szCs w:val="30"/>
        </w:rPr>
        <w:t xml:space="preserve">I · Le point, la droite, le segment, la demi-droite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VOCABULAIRE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Le point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Un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point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marque une position sur la feuille. On le nomme par une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On le dessine par une petite croix, et la lettre se place à côté — jamais sur la croix.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VOCABULAIRE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La droite, le segment, la demi-droite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Trois objets, trois écritures.</w:t>
            </w:r>
          </w:p>
          <w:tbl>
            <w:tblPr>
              <w:tblW w:type="pct" w:w="100%"/>
              <w:tblBorders>
                <w:top w:val="single" w:color="BFBFBF" w:sz="4"/>
                <w:left w:val="single" w:color="BFBFBF" w:sz="4"/>
                <w:bottom w:val="single" w:color="BFBFBF" w:sz="4"/>
                <w:right w:val="single" w:color="BFBFBF" w:sz="4"/>
                <w:insideH w:val="single" w:color="BFBFBF" w:sz="4"/>
                <w:insideV w:val="single" w:color="BFBFBF" w:sz="4"/>
              </w:tblBorders>
              <w:tblLayout w:type="fixed"/>
            </w:tblPr>
            <w:tblGrid>
              <w:gridCol w:w="2270"/>
              <w:gridCol w:w="4162"/>
              <w:gridCol w:w="2933"/>
            </w:tblGrid>
            <w:tr>
              <w:trPr>
                <w:cantSplit/>
                <w:tblHeader/>
              </w:trPr>
              <w:tc>
                <w:tcPr>
                  <w:tcW w:type="pct" w:w="24%"/>
                  <w:shd w:fill="F2F2F2" w:color="auto" w:val="clear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</w:tcPr>
                <w:p>
                  <w:pPr>
                    <w:spacing w:after="0" w:before="0" w:line="360"/>
                    <w:jc w:val="left"/>
                  </w:pPr>
                  <w:r>
                    <w:rPr>
                      <w:b/>
                      <w:bCs/>
                      <w:i w:val="false"/>
                      <w:iCs w:val="false"/>
                      <w:color w:val="111111"/>
                      <w:sz w:val="20"/>
                      <w:szCs w:val="20"/>
                    </w:rPr>
                    <w:t xml:space="preserve">Objet</w:t>
                  </w:r>
                </w:p>
              </w:tc>
              <w:tc>
                <w:tcPr>
                  <w:tcW w:type="pct" w:w="44%"/>
                  <w:shd w:fill="F2F2F2" w:color="auto" w:val="clear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</w:tcPr>
                <w:p>
                  <w:pPr>
                    <w:spacing w:after="0" w:before="0" w:line="360"/>
                    <w:jc w:val="left"/>
                  </w:pPr>
                  <w:r>
                    <w:rPr>
                      <w:b/>
                      <w:bCs/>
                      <w:i w:val="false"/>
                      <w:iCs w:val="false"/>
                      <w:color w:val="111111"/>
                      <w:sz w:val="20"/>
                      <w:szCs w:val="20"/>
                    </w:rPr>
                    <w:t xml:space="preserve">Ce que c'est</w:t>
                  </w:r>
                </w:p>
              </w:tc>
              <w:tc>
                <w:tcPr>
                  <w:tcW w:type="pct" w:w="31%"/>
                  <w:shd w:fill="F2F2F2" w:color="auto" w:val="clear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</w:tcPr>
                <w:p>
                  <w:pPr>
                    <w:spacing w:after="0" w:before="0" w:line="360"/>
                    <w:jc w:val="left"/>
                  </w:pPr>
                  <w:r>
                    <w:rPr>
                      <w:b/>
                      <w:bCs/>
                      <w:i w:val="false"/>
                      <w:iCs w:val="false"/>
                      <w:color w:val="111111"/>
                      <w:sz w:val="20"/>
                      <w:szCs w:val="20"/>
                    </w:rPr>
                    <w:t xml:space="preserve">Comment on l'écrit</w:t>
                  </w:r>
                </w:p>
              </w:tc>
            </w:tr>
            <w:tr>
              <w:trPr>
                <w:cantSplit/>
                <w:tblHeader w:val="false"/>
              </w:trPr>
              <w:tc>
                <w:tcPr>
                  <w:tcW w:type="pct" w:w="24%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</w:tcPr>
                <w:p>
                  <w:pPr>
                    <w:spacing w:after="0" w:before="0" w:line="360"/>
                    <w:jc w:val="left"/>
                  </w:pPr>
                  <w:r>
                    <w:rPr>
                      <w:b/>
                      <w:bCs/>
                      <w:i w:val="false"/>
                      <w:iCs w:val="false"/>
                      <w:color w:val="111111"/>
                      <w:sz w:val="20"/>
                      <w:szCs w:val="20"/>
                    </w:rPr>
                    <w:t xml:space="preserve">droite</w:t>
                  </w:r>
                </w:p>
              </w:tc>
              <w:tc>
                <w:tcPr>
                  <w:tcW w:type="pct" w:w="44%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</w:tcPr>
                <w:p>
                  <w:pPr>
                    <w:spacing w:after="0" w:before="0" w:line="360"/>
                    <w:jc w:val="left"/>
                  </w:pPr>
                  <w:r>
                    <w:rPr>
                      <w:b w:val="false"/>
                      <w:bCs w:val="false"/>
                      <w:i w:val="false"/>
                      <w:iCs w:val="false"/>
                      <w:color w:val="111111"/>
                      <w:sz w:val="20"/>
                      <w:szCs w:val="20"/>
                    </w:rPr>
                    <w:t xml:space="preserve">elle n'a pas de bout, des deux côtés</w:t>
                  </w:r>
                </w:p>
              </w:tc>
              <w:tc>
                <w:tcPr>
                  <w:tcW w:type="pct" w:w="31%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</w:tcPr>
                <w:p>
                  <w:pPr>
                    <w:spacing w:after="0" w:before="0" w:line="360"/>
                    <w:jc w:val="left"/>
                  </w:pPr>
                  <w:r>
                    <w:rPr>
                      <w:b w:val="false"/>
                      <w:bCs w:val="false"/>
                      <w:i w:val="false"/>
                      <w:iCs w:val="false"/>
                      <w:color w:val="555555"/>
                      <w:sz w:val="20"/>
                      <w:szCs w:val="20"/>
                    </w:rPr>
                    <w:t xml:space="preserve">....................</w:t>
                  </w:r>
                </w:p>
              </w:tc>
            </w:tr>
            <w:tr>
              <w:trPr>
                <w:cantSplit/>
                <w:tblHeader w:val="false"/>
              </w:trPr>
              <w:tc>
                <w:tcPr>
                  <w:tcW w:type="pct" w:w="24%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</w:tcPr>
                <w:p>
                  <w:pPr>
                    <w:spacing w:after="0" w:before="0" w:line="360"/>
                    <w:jc w:val="left"/>
                  </w:pPr>
                  <w:r>
                    <w:rPr>
                      <w:b/>
                      <w:bCs/>
                      <w:i w:val="false"/>
                      <w:iCs w:val="false"/>
                      <w:color w:val="111111"/>
                      <w:sz w:val="20"/>
                      <w:szCs w:val="20"/>
                    </w:rPr>
                    <w:t xml:space="preserve">segment</w:t>
                  </w:r>
                </w:p>
              </w:tc>
              <w:tc>
                <w:tcPr>
                  <w:tcW w:type="pct" w:w="44%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</w:tcPr>
                <w:p>
                  <w:pPr>
                    <w:spacing w:after="0" w:before="0" w:line="360"/>
                    <w:jc w:val="left"/>
                  </w:pPr>
                  <w:r>
                    <w:rPr>
                      <w:b w:val="false"/>
                      <w:bCs w:val="false"/>
                      <w:i w:val="false"/>
                      <w:iCs w:val="false"/>
                      <w:color w:val="111111"/>
                      <w:sz w:val="20"/>
                      <w:szCs w:val="20"/>
                    </w:rPr>
                    <w:t xml:space="preserve">il s'arrête en A et en B</w:t>
                  </w:r>
                </w:p>
              </w:tc>
              <w:tc>
                <w:tcPr>
                  <w:tcW w:type="pct" w:w="31%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</w:tcPr>
                <w:p>
                  <w:pPr>
                    <w:spacing w:after="0" w:before="0" w:line="360"/>
                    <w:jc w:val="left"/>
                  </w:pPr>
                  <w:r>
                    <w:rPr>
                      <w:b w:val="false"/>
                      <w:bCs w:val="false"/>
                      <w:i w:val="false"/>
                      <w:iCs w:val="false"/>
                      <w:color w:val="555555"/>
                      <w:sz w:val="20"/>
                      <w:szCs w:val="20"/>
                    </w:rPr>
                    <w:t xml:space="preserve">....................</w:t>
                  </w:r>
                </w:p>
              </w:tc>
            </w:tr>
            <w:tr>
              <w:trPr>
                <w:cantSplit/>
                <w:tblHeader w:val="false"/>
              </w:trPr>
              <w:tc>
                <w:tcPr>
                  <w:tcW w:type="pct" w:w="24%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</w:tcPr>
                <w:p>
                  <w:pPr>
                    <w:spacing w:after="0" w:before="0" w:line="360"/>
                    <w:jc w:val="left"/>
                  </w:pPr>
                  <w:r>
                    <w:rPr>
                      <w:b/>
                      <w:bCs/>
                      <w:i w:val="false"/>
                      <w:iCs w:val="false"/>
                      <w:color w:val="111111"/>
                      <w:sz w:val="20"/>
                      <w:szCs w:val="20"/>
                    </w:rPr>
                    <w:t xml:space="preserve">demi-droite</w:t>
                  </w:r>
                </w:p>
              </w:tc>
              <w:tc>
                <w:tcPr>
                  <w:tcW w:type="pct" w:w="44%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</w:tcPr>
                <w:p>
                  <w:pPr>
                    <w:spacing w:after="0" w:before="0" w:line="360"/>
                    <w:jc w:val="left"/>
                  </w:pPr>
                  <w:r>
                    <w:rPr>
                      <w:b w:val="false"/>
                      <w:bCs w:val="false"/>
                      <w:i w:val="false"/>
                      <w:iCs w:val="false"/>
                      <w:color w:val="111111"/>
                      <w:sz w:val="20"/>
                      <w:szCs w:val="20"/>
                    </w:rPr>
                    <w:t xml:space="preserve">elle part de A et ne s'arrête pas</w:t>
                  </w:r>
                </w:p>
              </w:tc>
              <w:tc>
                <w:tcPr>
                  <w:tcW w:type="pct" w:w="31%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</w:tcPr>
                <w:p>
                  <w:pPr>
                    <w:spacing w:after="0" w:before="0" w:line="360"/>
                    <w:jc w:val="left"/>
                  </w:pPr>
                  <w:r>
                    <w:rPr>
                      <w:b w:val="false"/>
                      <w:bCs w:val="false"/>
                      <w:i w:val="false"/>
                      <w:iCs w:val="false"/>
                      <w:color w:val="555555"/>
                      <w:sz w:val="20"/>
                      <w:szCs w:val="20"/>
                    </w:rPr>
                    <w:t xml:space="preserve">....................</w:t>
                  </w:r>
                </w:p>
              </w:tc>
            </w:tr>
            <w:tr>
              <w:trPr>
                <w:cantSplit/>
                <w:tblHeader w:val="false"/>
              </w:trPr>
              <w:tc>
                <w:tcPr>
                  <w:tcW w:type="pct" w:w="24%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</w:tcPr>
                <w:p>
                  <w:pPr>
                    <w:spacing w:after="0" w:before="0" w:line="360"/>
                    <w:jc w:val="left"/>
                  </w:pPr>
                  <w:r>
                    <w:rPr>
                      <w:b/>
                      <w:bCs/>
                      <w:i w:val="false"/>
                      <w:iCs w:val="false"/>
                      <w:color w:val="111111"/>
                      <w:sz w:val="20"/>
                      <w:szCs w:val="20"/>
                    </w:rPr>
                    <w:t xml:space="preserve">longueur</w:t>
                  </w:r>
                </w:p>
              </w:tc>
              <w:tc>
                <w:tcPr>
                  <w:tcW w:type="pct" w:w="44%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</w:tcPr>
                <w:p>
                  <w:pPr>
                    <w:spacing w:after="0" w:before="0" w:line="360"/>
                    <w:jc w:val="left"/>
                  </w:pPr>
                  <w:r>
                    <w:rPr>
                      <w:b w:val="false"/>
                      <w:bCs w:val="false"/>
                      <w:i w:val="false"/>
                      <w:iCs w:val="false"/>
                      <w:color w:val="111111"/>
                      <w:sz w:val="20"/>
                      <w:szCs w:val="20"/>
                    </w:rPr>
                    <w:t xml:space="preserve">c'est un nombre, avec une unité</w:t>
                  </w:r>
                </w:p>
              </w:tc>
              <w:tc>
                <w:tcPr>
                  <w:tcW w:type="pct" w:w="31%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</w:tcPr>
                <w:p>
                  <w:pPr>
                    <w:spacing w:after="0" w:before="0" w:line="360"/>
                    <w:jc w:val="left"/>
                  </w:pPr>
                  <w:r>
                    <w:rPr>
                      <w:b w:val="false"/>
                      <w:bCs w:val="false"/>
                      <w:i w:val="false"/>
                      <w:iCs w:val="false"/>
                      <w:color w:val="555555"/>
                      <w:sz w:val="20"/>
                      <w:szCs w:val="20"/>
                    </w:rPr>
                    <w:t xml:space="preserve">............</w:t>
                  </w:r>
                </w:p>
              </w:tc>
            </w:tr>
          </w:tbl>
          <w:p>
            <w:pPr>
              <w:spacing w:after="110"/>
            </w:pP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 crochet ferme, la parenthèse laisse ouvert.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Une droite se dessine toujours plus longue que ce qu'on en voit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: elle continue au-delà de la feuille.</w:t>
            </w:r>
          </w:p>
        </w:tc>
      </w:tr>
    </w:tbl>
    <w:p>
      <w:pPr>
        <w:spacing w:after="90"/>
      </w:pPr>
    </w:p>
    <w:p>
      <w:pPr>
        <w:keepNext/>
        <w:pBdr>
          <w:bottom w:val="single" w:color="111111" w:sz="6"/>
        </w:pBdr>
        <w:spacing w:after="80" w:before="160" w:line="360"/>
      </w:pPr>
      <w:r>
        <w:rPr>
          <w:b/>
          <w:bCs/>
          <w:color w:val="111111"/>
          <w:sz w:val="30"/>
          <w:szCs w:val="30"/>
        </w:rPr>
        <w:t xml:space="preserve">II · Appartenir à une droite, points alignés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 w:val="false"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DÉFINITION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Appartenir à une droite</w:t>
            </w:r>
          </w:p>
          <w:tbl>
            <w:tblPr>
              <w:tblW w:type="dxa" w:w="9126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4988"/>
              <w:gridCol w:w="4138"/>
            </w:tblGrid>
            <w:tr>
              <w:tc>
                <w:tcPr>
                  <w:tcW w:type="dxa" w:w="4988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top"/>
                </w:tcPr>
                <w:p>
                  <w:pPr>
                    <w:keepNext w:val="false"/>
                    <w:spacing w:after="50" w:line="360"/>
                    <w:jc w:val="left"/>
                  </w:pPr>
                  <w:r>
                    <w:rPr>
                      <w:b w:val="false"/>
                      <w:bCs w:val="false"/>
                      <w:i w:val="false"/>
                      <w:iCs w:val="false"/>
                      <w:color w:val="111111"/>
                      <w:sz w:val="22"/>
                      <w:szCs w:val="22"/>
                    </w:rPr>
                    <w:t xml:space="preserve">Si le point C est </w:t>
                  </w:r>
                  <w:r>
                    <w:rPr>
                      <w:b/>
                      <w:bCs/>
                      <w:i w:val="false"/>
                      <w:iCs w:val="false"/>
                      <w:color w:val="111111"/>
                      <w:sz w:val="22"/>
                      <w:szCs w:val="22"/>
                    </w:rPr>
                    <w:t xml:space="preserve">sur</w:t>
                  </w:r>
                  <w:r>
                    <w:rPr>
                      <w:b w:val="false"/>
                      <w:bCs w:val="false"/>
                      <w:i w:val="false"/>
                      <w:iCs w:val="false"/>
                      <w:color w:val="111111"/>
                      <w:sz w:val="22"/>
                      <w:szCs w:val="22"/>
                    </w:rPr>
                    <w:t xml:space="preserve"> la droite (d), on dit que C </w:t>
                  </w:r>
                  <w:r>
                    <w:rPr>
                      <w:b/>
                      <w:bCs/>
                      <w:i w:val="false"/>
                      <w:iCs w:val="false"/>
                      <w:color w:val="111111"/>
                      <w:sz w:val="22"/>
                      <w:szCs w:val="22"/>
                    </w:rPr>
                    <w:t xml:space="preserve">appartient</w:t>
                  </w:r>
                  <w:r>
                    <w:rPr>
                      <w:b w:val="false"/>
                      <w:bCs w:val="false"/>
                      <w:i w:val="false"/>
                      <w:iCs w:val="false"/>
                      <w:color w:val="111111"/>
                      <w:sz w:val="22"/>
                      <w:szCs w:val="22"/>
                    </w:rPr>
                    <w:t xml:space="preserve"> à (d).</w:t>
                  </w:r>
                </w:p>
                <w:p>
                  <w:pPr>
                    <w:keepNext w:val="false"/>
                    <w:spacing w:after="50" w:line="360"/>
                    <w:jc w:val="left"/>
                  </w:pPr>
                  <w:r>
                    <w:rPr>
                      <w:b w:val="false"/>
                      <w:bCs w:val="false"/>
                      <w:i w:val="false"/>
                      <w:iCs w:val="false"/>
                      <w:color w:val="111111"/>
                      <w:sz w:val="22"/>
                      <w:szCs w:val="22"/>
                    </w:rPr>
                    <w:t xml:space="preserve">On l'écrit </w:t>
                  </w:r>
                  <w:r>
                    <w:rPr>
                      <w:b w:val="false"/>
                      <w:bCs w:val="false"/>
                      <w:i w:val="false"/>
                      <w:iCs w:val="false"/>
                      <w:color w:val="555555"/>
                      <w:sz w:val="22"/>
                      <w:szCs w:val="22"/>
                    </w:rPr>
                    <w:t xml:space="preserve">....................</w:t>
                  </w:r>
                  <w:r>
                    <w:rPr>
                      <w:b w:val="false"/>
                      <w:bCs w:val="false"/>
                      <w:i w:val="false"/>
                      <w:iCs w:val="false"/>
                      <w:color w:val="111111"/>
                      <w:sz w:val="22"/>
                      <w:szCs w:val="22"/>
                    </w:rPr>
                    <w:t xml:space="preserve">.</w:t>
                  </w:r>
                </w:p>
                <w:p>
                  <w:pPr>
                    <w:keepNext w:val="false"/>
                    <w:spacing w:after="50" w:line="360"/>
                    <w:jc w:val="left"/>
                  </w:pPr>
                  <w:r>
                    <w:rPr>
                      <w:b w:val="false"/>
                      <w:bCs w:val="false"/>
                      <w:i w:val="false"/>
                      <w:iCs w:val="false"/>
                      <w:color w:val="111111"/>
                      <w:sz w:val="22"/>
                      <w:szCs w:val="22"/>
                    </w:rPr>
                    <w:t xml:space="preserve">S'il n'y est pas, on écrit </w:t>
                  </w:r>
                  <w:r>
                    <w:rPr>
                      <w:b w:val="false"/>
                      <w:bCs w:val="false"/>
                      <w:i w:val="false"/>
                      <w:iCs w:val="false"/>
                      <w:color w:val="555555"/>
                      <w:sz w:val="22"/>
                      <w:szCs w:val="22"/>
                    </w:rPr>
                    <w:t xml:space="preserve">....................</w:t>
                  </w:r>
                  <w:r>
                    <w:rPr>
                      <w:b w:val="false"/>
                      <w:bCs w:val="false"/>
                      <w:i w:val="false"/>
                      <w:iCs w:val="false"/>
                      <w:color w:val="111111"/>
                      <w:sz w:val="22"/>
                      <w:szCs w:val="22"/>
                    </w:rPr>
                    <w:t xml:space="preserve">.</w:t>
                  </w:r>
                </w:p>
              </w:tc>
              <w:tc>
                <w:tcPr>
                  <w:tcW w:type="dxa" w:w="4138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top"/>
                </w:tcPr>
                <w:p>
                  <w:pPr>
                    <w:spacing w:after="110" w:before="90"/>
                    <w:jc w:val="center"/>
                  </w:pPr>
                  <w:r>
                    <w:drawing>
                      <wp:inline distT="0" distB="0" distL="0" distR="0">
                        <wp:extent cx="2628900" cy="1266825"/>
                        <wp:effectExtent t="0" r="0" b="0" l="0"/>
                        <wp:docPr id="1" name="FIG-U01b-06.png" descr="Une droite nommée (d) traverse la figure. Le point C est placé sur cette droite : il lui appartient. Le point D est placé nettement au-dessus de la droite : il ne lui appartient pas." title="Figur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8900" cy="12668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>
            <w:pPr>
              <w:spacing w:after="40"/>
            </w:pP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 w:val="false"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DÉFINITION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Des points alignés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Des points sont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alignés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lorsqu'ils sont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.............................................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Trois points alignés ne définissent qu'une seule droite — et cette droite peut se nommer de plusieurs façons : (AB), (AC) ou (BC).</w:t>
            </w:r>
          </w:p>
          <w:p>
            <w:pPr>
              <w:spacing w:after="110" w:before="90"/>
              <w:jc w:val="center"/>
            </w:pPr>
            <w:r>
              <w:drawing>
                <wp:inline distT="0" distB="0" distL="0" distR="0">
                  <wp:extent cx="3057525" cy="1266825"/>
                  <wp:effectExtent t="0" r="0" b="0" l="0"/>
                  <wp:docPr id="1" name="FIG-U01b-07.png" descr="Une droite porte trois points nommés A, B et C, placés l'un après l'autre : ils sont alignés. Un quatrième point, E, est placé à l'écart de la droite : il n'est pas aligné avec les trois autres." title="Fig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111111" w:sz="18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11111"/>
                <w:sz w:val="24"/>
                <w:szCs w:val="24"/>
              </w:rPr>
              <w:t xml:space="preserve">Deux points suffisent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Par deux points, il passe une droite et une seule.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C'est ce qui permet de nommer une droite par deux de ses points. Avec un seul point, on ne peut rien dire : il en passe une infinité.</w:t>
            </w:r>
          </w:p>
        </w:tc>
      </w:tr>
    </w:tbl>
    <w:p>
      <w:pPr>
        <w:spacing w:after="90"/>
      </w:pPr>
    </w:p>
    <w:p>
      <w:pPr>
        <w:keepNext/>
        <w:pBdr>
          <w:bottom w:val="single" w:color="111111" w:sz="6"/>
        </w:pBdr>
        <w:spacing w:after="80" w:before="160" w:line="360"/>
      </w:pPr>
      <w:r>
        <w:rPr>
          <w:b/>
          <w:bCs/>
          <w:color w:val="111111"/>
          <w:sz w:val="30"/>
          <w:szCs w:val="30"/>
        </w:rPr>
        <w:t xml:space="preserve">III · Droites perpendiculaires, droites parallèles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 w:val="false"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DÉFINITION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Deux droites perpendiculaires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Deux droites sont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perpendiculaires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lorsqu'elles se coupent en formant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On le vérifie à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, et on le code par un petit carré à l'intersection.</w:t>
            </w:r>
          </w:p>
          <w:p>
            <w:pPr>
              <w:spacing w:after="110" w:before="90"/>
              <w:jc w:val="center"/>
            </w:pPr>
            <w:r>
              <w:drawing>
                <wp:inline distT="0" distB="0" distL="0" distR="0">
                  <wp:extent cx="4210050" cy="3124200"/>
                  <wp:effectExtent t="0" r="0" b="0" l="0"/>
                  <wp:docPr id="1" name="FIG-U01b-01.png" descr="Deux droites se coupent au point I. La première est horizontale et passe par les points A et B ; la seconde est verticale et passe par les points C et D. Un petit carré placé au point I code l'angle droit : les deux droites sont perpendiculaires." title="Fig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0" cy="312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DÉFINITION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Deux droites parallèles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Deux droites sont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parallèles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lorsqu'elles ne se coupent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, même en les prolongeant très loin.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Deux droites qui ne sont pas parallèles sont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sécantes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: elles se coupent en un point, et en un seul.</w:t>
            </w:r>
          </w:p>
        </w:tc>
      </w:tr>
    </w:tbl>
    <w:p>
      <w:pPr>
        <w:spacing w:after="90"/>
      </w:pP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Trois positions, et trois seulement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rPr>
          <w:cantSplit/>
          <w:tblHeader/>
        </w:trPr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Position</w:t>
            </w:r>
          </w:p>
        </w:tc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Les droites…</w:t>
            </w:r>
          </w:p>
        </w:tc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On le voit…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parallèles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ne se coupent jamais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l'écart reste le même partout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sécantes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se coupent en un point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elles se croisent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perpendiculaires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se coupent en formant un angle droit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l'équerre s'ajuste à l'angle</w:t>
            </w:r>
          </w:p>
        </w:tc>
      </w:tr>
    </w:tbl>
    <w:p>
      <w:pPr>
        <w:spacing w:after="110"/>
      </w:pP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Des droites perpendiculaires sont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aussi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des droites sécantes : c'est un cas particulier.</w:t>
      </w:r>
    </w:p>
    <w:p>
      <w:pPr>
        <w:keepNext/>
        <w:pBdr>
          <w:bottom w:val="single" w:color="111111" w:sz="6"/>
        </w:pBdr>
        <w:spacing w:after="80" w:before="160" w:line="360"/>
      </w:pPr>
      <w:r>
        <w:rPr>
          <w:b/>
          <w:bCs/>
          <w:color w:val="111111"/>
          <w:sz w:val="30"/>
          <w:szCs w:val="30"/>
        </w:rPr>
        <w:t xml:space="preserve">IV · Tracer une perpendiculaire à l'équerre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Tracer une perpendiculaire à l'équerre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Pour tracer la perpendiculaire à la droite (d) passant par le point M :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1. Poser le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côté de l'angle droit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de l'équerre le long de </w:t>
      </w:r>
      <w:r>
        <w:rPr>
          <w:b w:val="false"/>
          <w:bCs w:val="false"/>
          <w:i w:val="false"/>
          <w:iCs w:val="false"/>
          <w:color w:val="555555"/>
          <w:sz w:val="22"/>
          <w:szCs w:val="22"/>
        </w:rPr>
        <w:t xml:space="preserve">...............................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2. Faire glisser l'équerre le long de (d) jusqu'à ce que l'autre côté passe par </w:t>
      </w:r>
      <w:r>
        <w:rPr>
          <w:b w:val="false"/>
          <w:bCs w:val="false"/>
          <w:i w:val="false"/>
          <w:iCs w:val="false"/>
          <w:color w:val="555555"/>
          <w:sz w:val="22"/>
          <w:szCs w:val="22"/>
        </w:rPr>
        <w:t xml:space="preserve">............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3. Tracer le long de ce second côté.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4. Coder l'angle droit par un petit carré.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11111"/>
                <w:sz w:val="24"/>
                <w:szCs w:val="24"/>
              </w:rPr>
              <w:t xml:space="preserve">💡 D'où vient le mot « géométrie »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Du grec : </w:t>
            </w:r>
            <w:r>
              <w:rPr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geo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, la terre, et </w:t>
            </w:r>
            <w:r>
              <w:rPr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metron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, la mesure. La géométrie a commencé comme un métier — mesurer des champs après les crues du Nil, pour savoir à qui appartenait quoi. Les figures sont venues après les besoins.</w:t>
            </w:r>
          </w:p>
        </w:tc>
      </w:tr>
    </w:tbl>
    <w:p>
      <w:pPr>
        <w:spacing w:after="90"/>
      </w:pP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27fe4dba213f630ba3c3f272809ed905a477b493.undefined"/><Relationship Id="rId8" Type="http://schemas.openxmlformats.org/officeDocument/2006/relationships/image" Target="media/cf958884dfe1a6100470b699de467c99d3d8d7c7.undefined"/><Relationship Id="rId9" Type="http://schemas.openxmlformats.org/officeDocument/2006/relationships/image" Target="media/d050f7d26beba80c646eb8aafe07188d4fb57eb1.undefined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Rappels de géométrie — cours à compléter (élève)</dc:title>
  <dc:creator>Fabunia</dc:creator>
  <dc:description>Rappels de géométrie — 6e</dc:description>
  <cp:lastModifiedBy>Un-named</cp:lastModifiedBy>
  <cp:revision>1</cp:revision>
  <dcterms:created xsi:type="dcterms:W3CDTF">2026-09-13T20:14:36.730Z</dcterms:created>
  <dcterms:modified xsi:type="dcterms:W3CDTF">2026-09-13T20:14:36.737Z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